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Налоги и налогообложение</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«Налоги и налогообложение»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«Налоги и налогообложение».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«Налоги и налогообложение»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«Налоги и налогообложение»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Организация бюджетирования и управления денежными потоками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Акцизы.Налог на прибыль организаций.Налог на доходы физических лиц.Страховые взносы.Сборы за пользование объектами животного мира и за</w:t>
            </w:r>
          </w:p>
          <w:p>
            <w:pPr>
              <w:jc w:val="both"/>
              <w:spacing w:after="0" w:line="240" w:lineRule="auto"/>
              <w:rPr>
                <w:sz w:val="24"/>
                <w:szCs w:val="24"/>
              </w:rPr>
            </w:pPr>
            <w:r>
              <w:rPr>
                <w:rFonts w:ascii="Times New Roman" w:hAnsi="Times New Roman" w:cs="Times New Roman"/>
                <w:color w:val="#000000"/>
                <w:sz w:val="24"/>
                <w:szCs w:val="24"/>
              </w:rPr>
              <w:t> пользование объектами водных биоресурсов.Водный налог. Налог на добычу полезных ископаемых. Государственная пошлина.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налоги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организации. Транспортный налог. Налог на игорный бизнес.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 Основы налогового администрирования</w:t>
            </w:r>
          </w:p>
        </w:tc>
      </w:tr>
      <w:tr>
        <w:trPr>
          <w:trHeight w:hRule="exact" w:val="21.31518"/>
        </w:trPr>
        <w:tc>
          <w:tcPr>
            <w:tcW w:w="9640" w:type="dxa"/>
          </w:tcPr>
          <w:p/>
        </w:tc>
      </w:tr>
      <w:tr>
        <w:trPr>
          <w:trHeight w:hRule="exact" w:val="7634.8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налогов и сборов. Налоговая система. Структурные элементы налоговой системы. Факторы развития налоговой системы.</w:t>
            </w:r>
          </w:p>
          <w:p>
            <w:pPr>
              <w:jc w:val="left"/>
              <w:spacing w:after="0" w:line="240" w:lineRule="auto"/>
              <w:rPr>
                <w:sz w:val="24"/>
                <w:szCs w:val="24"/>
              </w:rPr>
            </w:pPr>
            <w:r>
              <w:rPr>
                <w:rFonts w:ascii="Times New Roman" w:hAnsi="Times New Roman" w:cs="Times New Roman"/>
                <w:color w:val="#000000"/>
                <w:sz w:val="24"/>
                <w:szCs w:val="24"/>
              </w:rPr>
              <w:t> Классификация налогов и ее назначение. Классификационные критерии. Прямые и косвенные налоги. Прямые налоги и их общая характеристика. Косвенные налоги и их общая характеристика. Плательщик косвенного налога и носитель налога.</w:t>
            </w:r>
          </w:p>
          <w:p>
            <w:pPr>
              <w:jc w:val="left"/>
              <w:spacing w:after="0" w:line="240" w:lineRule="auto"/>
              <w:rPr>
                <w:sz w:val="24"/>
                <w:szCs w:val="24"/>
              </w:rPr>
            </w:pPr>
            <w:r>
              <w:rPr>
                <w:rFonts w:ascii="Times New Roman" w:hAnsi="Times New Roman" w:cs="Times New Roman"/>
                <w:color w:val="#000000"/>
                <w:sz w:val="24"/>
                <w:szCs w:val="24"/>
              </w:rPr>
              <w:t> Общие организационные принципы построения налоговой системы Российской Федерации. Виды налогов и сборов, взимаемых в Российской Федерации: федеральные, региональные, местные. Структура налоговой системы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Понятие налогового администрирования. Цели и задачи налогового администрирования. Налоговые органы в Российской Федерации и их структура. Принципы  построения налоговых  органов  Российской Федерации: территориальный и отраслевой. Права и обязанности налоговых органов. Ответственность налоговых органов за соблюдение налогового законодательства.</w:t>
            </w:r>
          </w:p>
          <w:p>
            <w:pPr>
              <w:jc w:val="left"/>
              <w:spacing w:after="0" w:line="240" w:lineRule="auto"/>
              <w:rPr>
                <w:sz w:val="24"/>
                <w:szCs w:val="24"/>
              </w:rPr>
            </w:pPr>
            <w:r>
              <w:rPr>
                <w:rFonts w:ascii="Times New Roman" w:hAnsi="Times New Roman" w:cs="Times New Roman"/>
                <w:color w:val="#000000"/>
                <w:sz w:val="24"/>
                <w:szCs w:val="24"/>
              </w:rPr>
              <w:t> Налоговый контроль как центральный элемент налогового администрирования. Формы и методы налогового контроля. Учет налогоплательщиков. Организация  учета  и регистрации налогоплательщиков (организаций, в т.ч. крупнейших налогоплательщиков; индивидуальных предпринимателей; физических лиц). Идентификация налогоплательщиков по цифровым кодам. Присвоение налогоплательщикам индивидуальных идентификационных номеров (ИНН). Порядок снятия с учета налогоплательщиков.</w:t>
            </w:r>
          </w:p>
          <w:p>
            <w:pPr>
              <w:jc w:val="left"/>
              <w:spacing w:after="0" w:line="240" w:lineRule="auto"/>
              <w:rPr>
                <w:sz w:val="24"/>
                <w:szCs w:val="24"/>
              </w:rPr>
            </w:pPr>
            <w:r>
              <w:rPr>
                <w:rFonts w:ascii="Times New Roman" w:hAnsi="Times New Roman" w:cs="Times New Roman"/>
                <w:color w:val="#000000"/>
                <w:sz w:val="24"/>
                <w:szCs w:val="24"/>
              </w:rPr>
              <w:t> Налоговые проверки: камеральная налоговая проверка, выездная налоговая проверка. Цели и методы их проведения. Оформление результатов налоговых проверок. Порядок оспаривания результатов налоговых проверок. Досудебное урегулирование налоговых споров.</w:t>
            </w:r>
          </w:p>
          <w:p>
            <w:pPr>
              <w:jc w:val="left"/>
              <w:spacing w:after="0" w:line="240" w:lineRule="auto"/>
              <w:rPr>
                <w:sz w:val="24"/>
                <w:szCs w:val="24"/>
              </w:rPr>
            </w:pPr>
            <w:r>
              <w:rPr>
                <w:rFonts w:ascii="Times New Roman" w:hAnsi="Times New Roman" w:cs="Times New Roman"/>
                <w:color w:val="#000000"/>
                <w:sz w:val="24"/>
                <w:szCs w:val="24"/>
              </w:rPr>
              <w:t> Понятия недоимки и налоговой задолженности. Порядок и сроки взыскания недоимок налоговыми органами.</w:t>
            </w:r>
          </w:p>
          <w:p>
            <w:pPr>
              <w:jc w:val="left"/>
              <w:spacing w:after="0" w:line="240" w:lineRule="auto"/>
              <w:rPr>
                <w:sz w:val="24"/>
                <w:szCs w:val="24"/>
              </w:rPr>
            </w:pPr>
            <w:r>
              <w:rPr>
                <w:rFonts w:ascii="Times New Roman" w:hAnsi="Times New Roman" w:cs="Times New Roman"/>
                <w:color w:val="#000000"/>
                <w:sz w:val="24"/>
                <w:szCs w:val="24"/>
              </w:rPr>
              <w:t> Налоговые правонарушения. Виды налоговых правонарушений. Ответственность за нарушение налогового законодательства.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Российской Федерации риск-ориентированного подхода к организации и проведению налогового контроля.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«Налоги и налогообложение»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https://urait.ru/bcode/449883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Самоделко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Гулькова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06.6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2023-2024_ФГОС3++2023_Бак-ЗФО-Э(УАиА)(23)_plx_Налоги и налогообложение</dc:title>
  <dc:creator>FastReport.NET</dc:creator>
</cp:coreProperties>
</file>